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1C6" w:rsidRPr="00387432" w:rsidRDefault="009071C6" w:rsidP="009071C6">
      <w:pPr>
        <w:spacing w:after="0" w:line="240" w:lineRule="auto"/>
        <w:textAlignment w:val="baseline"/>
        <w:outlineLvl w:val="1"/>
        <w:rPr>
          <w:rFonts w:ascii="Segoe UI" w:eastAsia="Times New Roman" w:hAnsi="Segoe UI" w:cs="Segoe UI"/>
          <w:b/>
          <w:bCs/>
          <w:highlight w:val="black"/>
          <w:lang w:eastAsia="pl-PL"/>
        </w:rPr>
      </w:pPr>
      <w:r>
        <w:rPr>
          <w:rFonts w:ascii="Segoe UI" w:eastAsia="Times New Roman" w:hAnsi="Segoe UI" w:cs="Segoe UI"/>
          <w:b/>
          <w:bCs/>
          <w:noProof/>
          <w:lang w:eastAsia="pl-PL"/>
        </w:rPr>
        <w:drawing>
          <wp:anchor distT="0" distB="0" distL="114300" distR="114300" simplePos="0" relativeHeight="251660288" behindDoc="0" locked="0" layoutInCell="1" allowOverlap="1" wp14:anchorId="16E1D448" wp14:editId="709985AD">
            <wp:simplePos x="0" y="0"/>
            <wp:positionH relativeFrom="column">
              <wp:posOffset>58420</wp:posOffset>
            </wp:positionH>
            <wp:positionV relativeFrom="paragraph">
              <wp:posOffset>2540</wp:posOffset>
            </wp:positionV>
            <wp:extent cx="5760720" cy="3240405"/>
            <wp:effectExtent l="0" t="0" r="0" b="0"/>
            <wp:wrapNone/>
            <wp:docPr id="10" name="Obraz 10" descr="C:\Users\jgla015762\Desktop\Slajd_nowa 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gla015762\Desktop\Slajd_nowa dat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1C6" w:rsidRDefault="009071C6" w:rsidP="009071C6">
      <w:pPr>
        <w:spacing w:after="0" w:line="240" w:lineRule="auto"/>
        <w:jc w:val="center"/>
        <w:textAlignment w:val="baseline"/>
        <w:outlineLvl w:val="1"/>
        <w:rPr>
          <w:rFonts w:ascii="Segoe UI" w:eastAsia="Times New Roman" w:hAnsi="Segoe UI" w:cs="Segoe UI"/>
          <w:b/>
          <w:bCs/>
          <w:lang w:eastAsia="pl-PL"/>
        </w:rPr>
      </w:pPr>
    </w:p>
    <w:p w:rsidR="009071C6" w:rsidRPr="00811C3D" w:rsidRDefault="009071C6" w:rsidP="009071C6">
      <w:pPr>
        <w:spacing w:after="0" w:line="240" w:lineRule="auto"/>
        <w:jc w:val="center"/>
        <w:textAlignment w:val="baseline"/>
        <w:outlineLvl w:val="1"/>
        <w:rPr>
          <w:rFonts w:ascii="Segoe UI" w:eastAsia="Times New Roman" w:hAnsi="Segoe UI" w:cs="Segoe UI"/>
          <w:b/>
          <w:bCs/>
          <w:lang w:eastAsia="pl-PL"/>
        </w:rPr>
      </w:pPr>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bookmarkStart w:id="0" w:name="_GoBack"/>
      <w:bookmarkEnd w:id="0"/>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p>
    <w:p w:rsidR="009071C6" w:rsidRDefault="009071C6" w:rsidP="009071C6">
      <w:pPr>
        <w:spacing w:after="0" w:line="240" w:lineRule="auto"/>
        <w:jc w:val="center"/>
        <w:textAlignment w:val="baseline"/>
        <w:outlineLvl w:val="1"/>
        <w:rPr>
          <w:rFonts w:ascii="Segoe UI" w:eastAsia="Times New Roman" w:hAnsi="Segoe UI" w:cs="Segoe UI"/>
          <w:b/>
          <w:bCs/>
          <w:sz w:val="28"/>
          <w:lang w:eastAsia="pl-PL"/>
        </w:rPr>
      </w:pPr>
    </w:p>
    <w:p w:rsidR="009071C6" w:rsidRPr="00C20B71" w:rsidRDefault="009071C6" w:rsidP="009071C6">
      <w:pPr>
        <w:spacing w:after="0" w:line="240" w:lineRule="auto"/>
        <w:jc w:val="center"/>
        <w:textAlignment w:val="baseline"/>
        <w:outlineLvl w:val="1"/>
        <w:rPr>
          <w:rFonts w:ascii="Segoe UI" w:eastAsia="Times New Roman" w:hAnsi="Segoe UI" w:cs="Segoe UI"/>
          <w:b/>
          <w:bCs/>
          <w:sz w:val="28"/>
          <w:lang w:eastAsia="pl-PL"/>
        </w:rPr>
      </w:pPr>
      <w:r w:rsidRPr="00C20B71">
        <w:rPr>
          <w:rFonts w:ascii="Segoe UI" w:eastAsia="Times New Roman" w:hAnsi="Segoe UI" w:cs="Segoe UI"/>
          <w:b/>
          <w:bCs/>
          <w:sz w:val="28"/>
          <w:lang w:eastAsia="pl-PL"/>
        </w:rPr>
        <w:t>- INFORMACJA PRASOWA -</w:t>
      </w:r>
    </w:p>
    <w:p w:rsidR="009071C6" w:rsidRDefault="009071C6" w:rsidP="009071C6">
      <w:pPr>
        <w:spacing w:after="0" w:line="240" w:lineRule="auto"/>
        <w:textAlignment w:val="baseline"/>
        <w:outlineLvl w:val="1"/>
        <w:rPr>
          <w:rFonts w:ascii="Segoe UI" w:eastAsia="Times New Roman" w:hAnsi="Segoe UI" w:cs="Segoe UI"/>
          <w:b/>
          <w:bCs/>
          <w:lang w:eastAsia="pl-PL"/>
        </w:rPr>
      </w:pPr>
    </w:p>
    <w:p w:rsidR="009071C6" w:rsidRPr="00C20B71" w:rsidRDefault="009071C6" w:rsidP="009071C6">
      <w:pPr>
        <w:spacing w:after="0" w:line="240" w:lineRule="auto"/>
        <w:textAlignment w:val="baseline"/>
        <w:outlineLvl w:val="1"/>
        <w:rPr>
          <w:rFonts w:ascii="Segoe UI" w:eastAsia="Times New Roman" w:hAnsi="Segoe UI" w:cs="Segoe UI"/>
          <w:b/>
          <w:bCs/>
          <w:sz w:val="28"/>
          <w:lang w:eastAsia="pl-PL"/>
        </w:rPr>
      </w:pPr>
      <w:r w:rsidRPr="00C20B71">
        <w:rPr>
          <w:rFonts w:ascii="Segoe UI" w:eastAsia="Times New Roman" w:hAnsi="Segoe UI" w:cs="Segoe UI"/>
          <w:b/>
          <w:bCs/>
          <w:sz w:val="28"/>
          <w:lang w:eastAsia="pl-PL"/>
        </w:rPr>
        <w:t>Posiedzenie Rady Programowej COMMON FUTURE w Ministerstwie Rozwoju i Technologii.</w:t>
      </w:r>
    </w:p>
    <w:p w:rsidR="009071C6" w:rsidRPr="00C20B71" w:rsidRDefault="009071C6" w:rsidP="009071C6">
      <w:pPr>
        <w:pStyle w:val="NormalnyWeb"/>
        <w:jc w:val="both"/>
        <w:rPr>
          <w:rFonts w:ascii="Segoe UI" w:hAnsi="Segoe UI" w:cs="Segoe UI"/>
          <w:b/>
        </w:rPr>
      </w:pPr>
      <w:r w:rsidRPr="00C20B71">
        <w:rPr>
          <w:rFonts w:ascii="Segoe UI" w:hAnsi="Segoe UI" w:cs="Segoe UI"/>
          <w:b/>
        </w:rPr>
        <w:t>W Ministerstwie Rozwoju i Technologii, które jest patronem Kongresu Odbudowy Ukrainy, odbyło się posiedzenie Rady Programowej kongresu. W wydarzeniu uczestniczyli przedstawiciele kluczowych instytucji wspierających obecność polskich przedsiębiorców na rynku ukraińskim.</w:t>
      </w:r>
    </w:p>
    <w:p w:rsidR="009071C6" w:rsidRPr="00C20B71" w:rsidRDefault="009071C6" w:rsidP="009071C6">
      <w:pPr>
        <w:pStyle w:val="NormalnyWeb"/>
        <w:jc w:val="both"/>
        <w:rPr>
          <w:rFonts w:ascii="Segoe UI" w:hAnsi="Segoe UI" w:cs="Segoe UI"/>
        </w:rPr>
      </w:pPr>
      <w:r>
        <w:rPr>
          <w:rFonts w:ascii="Segoe UI" w:hAnsi="Segoe UI" w:cs="Segoe UI"/>
        </w:rPr>
        <w:t>Do udziału w pracach Rady</w:t>
      </w:r>
      <w:r w:rsidRPr="00C20B71">
        <w:rPr>
          <w:rFonts w:ascii="Segoe UI" w:hAnsi="Segoe UI" w:cs="Segoe UI"/>
        </w:rPr>
        <w:t xml:space="preserve"> Programowej zostali zaproszeni przedstawiciele</w:t>
      </w:r>
      <w:r>
        <w:rPr>
          <w:rFonts w:ascii="Segoe UI" w:hAnsi="Segoe UI" w:cs="Segoe UI"/>
        </w:rPr>
        <w:t xml:space="preserve"> ministerstw i instytucji publicznych wspierających współpracę gospodarczą i obecność zagraniczną polskich przedsiębiorców. Na spotkaniu obecni byli przedstawiciele: </w:t>
      </w:r>
      <w:r w:rsidRPr="00C20B71">
        <w:rPr>
          <w:rFonts w:ascii="Segoe UI" w:hAnsi="Segoe UI" w:cs="Segoe UI"/>
        </w:rPr>
        <w:t xml:space="preserve"> </w:t>
      </w:r>
    </w:p>
    <w:p w:rsidR="009071C6" w:rsidRPr="00C20B71" w:rsidRDefault="009071C6" w:rsidP="009071C6">
      <w:pPr>
        <w:pStyle w:val="NormalnyWeb"/>
        <w:numPr>
          <w:ilvl w:val="0"/>
          <w:numId w:val="1"/>
        </w:numPr>
        <w:jc w:val="both"/>
        <w:rPr>
          <w:rFonts w:ascii="Segoe UI" w:hAnsi="Segoe UI" w:cs="Segoe UI"/>
        </w:rPr>
      </w:pPr>
      <w:r w:rsidRPr="00C20B71">
        <w:rPr>
          <w:rFonts w:ascii="Segoe UI" w:hAnsi="Segoe UI" w:cs="Segoe UI"/>
        </w:rPr>
        <w:t xml:space="preserve">Ministerstwa Rozwoju i Technologii, </w:t>
      </w:r>
    </w:p>
    <w:p w:rsidR="009071C6" w:rsidRPr="00C20B71" w:rsidRDefault="009071C6" w:rsidP="009071C6">
      <w:pPr>
        <w:pStyle w:val="NormalnyWeb"/>
        <w:numPr>
          <w:ilvl w:val="0"/>
          <w:numId w:val="1"/>
        </w:numPr>
        <w:jc w:val="both"/>
        <w:rPr>
          <w:rFonts w:ascii="Segoe UI" w:hAnsi="Segoe UI" w:cs="Segoe UI"/>
        </w:rPr>
      </w:pPr>
      <w:r w:rsidRPr="00C20B71">
        <w:rPr>
          <w:rFonts w:ascii="Segoe UI" w:hAnsi="Segoe UI" w:cs="Segoe UI"/>
        </w:rPr>
        <w:t xml:space="preserve">Ministerstwa Spraw Zagranicznych, </w:t>
      </w:r>
    </w:p>
    <w:p w:rsidR="009071C6" w:rsidRPr="00C20B71" w:rsidRDefault="009071C6" w:rsidP="009071C6">
      <w:pPr>
        <w:pStyle w:val="NormalnyWeb"/>
        <w:numPr>
          <w:ilvl w:val="0"/>
          <w:numId w:val="1"/>
        </w:numPr>
        <w:jc w:val="both"/>
        <w:rPr>
          <w:rFonts w:ascii="Segoe UI" w:hAnsi="Segoe UI" w:cs="Segoe UI"/>
        </w:rPr>
      </w:pPr>
      <w:r w:rsidRPr="00C20B71">
        <w:rPr>
          <w:rFonts w:ascii="Segoe UI" w:hAnsi="Segoe UI" w:cs="Segoe UI"/>
        </w:rPr>
        <w:t xml:space="preserve">Ministerstwa Funduszy i Polityki Regionalnej </w:t>
      </w:r>
    </w:p>
    <w:p w:rsidR="009071C6" w:rsidRPr="00C20B71" w:rsidRDefault="009071C6" w:rsidP="009071C6">
      <w:pPr>
        <w:pStyle w:val="NormalnyWeb"/>
        <w:numPr>
          <w:ilvl w:val="0"/>
          <w:numId w:val="1"/>
        </w:numPr>
        <w:jc w:val="both"/>
        <w:rPr>
          <w:rFonts w:ascii="Segoe UI" w:hAnsi="Segoe UI" w:cs="Segoe UI"/>
        </w:rPr>
      </w:pPr>
      <w:r w:rsidRPr="00C20B71">
        <w:rPr>
          <w:rFonts w:ascii="Segoe UI" w:hAnsi="Segoe UI" w:cs="Segoe UI"/>
        </w:rPr>
        <w:t xml:space="preserve">Rady ds. Współpracy z Ukrainą, </w:t>
      </w:r>
    </w:p>
    <w:p w:rsidR="009071C6" w:rsidRPr="00C20B71" w:rsidRDefault="009071C6" w:rsidP="009071C6">
      <w:pPr>
        <w:pStyle w:val="NormalnyWeb"/>
        <w:numPr>
          <w:ilvl w:val="0"/>
          <w:numId w:val="1"/>
        </w:numPr>
        <w:jc w:val="both"/>
        <w:rPr>
          <w:rFonts w:ascii="Segoe UI" w:hAnsi="Segoe UI" w:cs="Segoe UI"/>
        </w:rPr>
      </w:pPr>
      <w:r w:rsidRPr="00C20B71">
        <w:rPr>
          <w:rFonts w:ascii="Segoe UI" w:hAnsi="Segoe UI" w:cs="Segoe UI"/>
        </w:rPr>
        <w:t xml:space="preserve">Polskiej Agencji Inwestycji i Handlu, </w:t>
      </w:r>
    </w:p>
    <w:p w:rsidR="009071C6" w:rsidRPr="00C20B71" w:rsidRDefault="009071C6" w:rsidP="009071C6">
      <w:pPr>
        <w:pStyle w:val="NormalnyWeb"/>
        <w:numPr>
          <w:ilvl w:val="0"/>
          <w:numId w:val="1"/>
        </w:numPr>
        <w:jc w:val="both"/>
        <w:rPr>
          <w:rFonts w:ascii="Segoe UI" w:hAnsi="Segoe UI" w:cs="Segoe UI"/>
        </w:rPr>
      </w:pPr>
      <w:r w:rsidRPr="00C20B71">
        <w:rPr>
          <w:rFonts w:ascii="Segoe UI" w:hAnsi="Segoe UI" w:cs="Segoe UI"/>
        </w:rPr>
        <w:t xml:space="preserve">Banku Gospodarstwa Krajowego, </w:t>
      </w:r>
    </w:p>
    <w:p w:rsidR="009071C6" w:rsidRPr="00C20B71" w:rsidRDefault="009071C6" w:rsidP="009071C6">
      <w:pPr>
        <w:pStyle w:val="NormalnyWeb"/>
        <w:numPr>
          <w:ilvl w:val="0"/>
          <w:numId w:val="1"/>
        </w:numPr>
        <w:jc w:val="both"/>
        <w:rPr>
          <w:rFonts w:ascii="Segoe UI" w:hAnsi="Segoe UI" w:cs="Segoe UI"/>
        </w:rPr>
      </w:pPr>
      <w:r w:rsidRPr="00C20B71">
        <w:rPr>
          <w:rFonts w:ascii="Segoe UI" w:hAnsi="Segoe UI" w:cs="Segoe UI"/>
        </w:rPr>
        <w:t xml:space="preserve">Polskiego Funduszu Rozwoju, </w:t>
      </w:r>
    </w:p>
    <w:p w:rsidR="009071C6" w:rsidRPr="00C20B71" w:rsidRDefault="009071C6" w:rsidP="009071C6">
      <w:pPr>
        <w:pStyle w:val="NormalnyWeb"/>
        <w:numPr>
          <w:ilvl w:val="0"/>
          <w:numId w:val="1"/>
        </w:numPr>
        <w:jc w:val="both"/>
        <w:rPr>
          <w:rFonts w:ascii="Segoe UI" w:hAnsi="Segoe UI" w:cs="Segoe UI"/>
        </w:rPr>
      </w:pPr>
      <w:r w:rsidRPr="00C20B71">
        <w:rPr>
          <w:rFonts w:ascii="Segoe UI" w:hAnsi="Segoe UI" w:cs="Segoe UI"/>
        </w:rPr>
        <w:lastRenderedPageBreak/>
        <w:t xml:space="preserve">Korporacji Ubezpieczeń Kredytów Eksportowych, </w:t>
      </w:r>
    </w:p>
    <w:p w:rsidR="009071C6" w:rsidRPr="00C20B71" w:rsidRDefault="009071C6" w:rsidP="009071C6">
      <w:pPr>
        <w:pStyle w:val="NormalnyWeb"/>
        <w:numPr>
          <w:ilvl w:val="0"/>
          <w:numId w:val="1"/>
        </w:numPr>
        <w:jc w:val="both"/>
        <w:rPr>
          <w:rFonts w:ascii="Segoe UI" w:hAnsi="Segoe UI" w:cs="Segoe UI"/>
        </w:rPr>
      </w:pPr>
      <w:r w:rsidRPr="00C20B71">
        <w:rPr>
          <w:rFonts w:ascii="Segoe UI" w:hAnsi="Segoe UI" w:cs="Segoe UI"/>
        </w:rPr>
        <w:t xml:space="preserve">Unii Metropolii Polskich </w:t>
      </w:r>
      <w:r>
        <w:rPr>
          <w:rFonts w:ascii="Segoe UI" w:hAnsi="Segoe UI" w:cs="Segoe UI"/>
        </w:rPr>
        <w:t>im. Pawła Adamowicza</w:t>
      </w:r>
    </w:p>
    <w:p w:rsidR="009071C6" w:rsidRPr="00C20B71" w:rsidRDefault="009071C6" w:rsidP="009071C6">
      <w:pPr>
        <w:pStyle w:val="NormalnyWeb"/>
        <w:ind w:left="360"/>
        <w:jc w:val="both"/>
        <w:rPr>
          <w:rFonts w:ascii="Segoe UI" w:hAnsi="Segoe UI" w:cs="Segoe UI"/>
        </w:rPr>
      </w:pPr>
      <w:r>
        <w:rPr>
          <w:rFonts w:ascii="Segoe UI" w:hAnsi="Segoe UI" w:cs="Segoe UI"/>
        </w:rPr>
        <w:t>oraz partnerów merytorycznych</w:t>
      </w:r>
      <w:r w:rsidRPr="00C20B71">
        <w:rPr>
          <w:rFonts w:ascii="Segoe UI" w:hAnsi="Segoe UI" w:cs="Segoe UI"/>
        </w:rPr>
        <w:t xml:space="preserve">: </w:t>
      </w:r>
    </w:p>
    <w:p w:rsidR="009071C6" w:rsidRPr="00C20B71" w:rsidRDefault="009071C6" w:rsidP="009071C6">
      <w:pPr>
        <w:pStyle w:val="NormalnyWeb"/>
        <w:numPr>
          <w:ilvl w:val="0"/>
          <w:numId w:val="2"/>
        </w:numPr>
        <w:jc w:val="both"/>
        <w:rPr>
          <w:rFonts w:ascii="Segoe UI" w:hAnsi="Segoe UI" w:cs="Segoe UI"/>
        </w:rPr>
      </w:pPr>
      <w:r>
        <w:rPr>
          <w:rFonts w:ascii="Segoe UI" w:hAnsi="Segoe UI" w:cs="Segoe UI"/>
        </w:rPr>
        <w:t>Polsko-Ukraińskiej Izby</w:t>
      </w:r>
      <w:r w:rsidRPr="00C20B71">
        <w:rPr>
          <w:rFonts w:ascii="Segoe UI" w:hAnsi="Segoe UI" w:cs="Segoe UI"/>
        </w:rPr>
        <w:t xml:space="preserve"> </w:t>
      </w:r>
      <w:r>
        <w:rPr>
          <w:rFonts w:ascii="Segoe UI" w:hAnsi="Segoe UI" w:cs="Segoe UI"/>
        </w:rPr>
        <w:t>Gospodarczej</w:t>
      </w:r>
      <w:r w:rsidRPr="00C20B71">
        <w:rPr>
          <w:rFonts w:ascii="Segoe UI" w:hAnsi="Segoe UI" w:cs="Segoe UI"/>
        </w:rPr>
        <w:t xml:space="preserve"> </w:t>
      </w:r>
    </w:p>
    <w:p w:rsidR="009071C6" w:rsidRPr="00C20B71" w:rsidRDefault="009071C6" w:rsidP="009071C6">
      <w:pPr>
        <w:pStyle w:val="NormalnyWeb"/>
        <w:numPr>
          <w:ilvl w:val="0"/>
          <w:numId w:val="2"/>
        </w:numPr>
        <w:jc w:val="both"/>
        <w:rPr>
          <w:rFonts w:ascii="Segoe UI" w:hAnsi="Segoe UI" w:cs="Segoe UI"/>
        </w:rPr>
      </w:pPr>
      <w:r w:rsidRPr="00C20B71">
        <w:rPr>
          <w:rFonts w:ascii="Segoe UI" w:hAnsi="Segoe UI" w:cs="Segoe UI"/>
        </w:rPr>
        <w:t>Polski</w:t>
      </w:r>
      <w:r>
        <w:rPr>
          <w:rFonts w:ascii="Segoe UI" w:hAnsi="Segoe UI" w:cs="Segoe UI"/>
        </w:rPr>
        <w:t>ego Związ</w:t>
      </w:r>
      <w:r w:rsidRPr="00C20B71">
        <w:rPr>
          <w:rFonts w:ascii="Segoe UI" w:hAnsi="Segoe UI" w:cs="Segoe UI"/>
        </w:rPr>
        <w:t>k</w:t>
      </w:r>
      <w:r>
        <w:rPr>
          <w:rFonts w:ascii="Segoe UI" w:hAnsi="Segoe UI" w:cs="Segoe UI"/>
        </w:rPr>
        <w:t>u</w:t>
      </w:r>
      <w:r w:rsidRPr="00C20B71">
        <w:rPr>
          <w:rFonts w:ascii="Segoe UI" w:hAnsi="Segoe UI" w:cs="Segoe UI"/>
        </w:rPr>
        <w:t xml:space="preserve"> Pracodawców Budownictwa</w:t>
      </w:r>
    </w:p>
    <w:p w:rsidR="009071C6" w:rsidRPr="00C20B71" w:rsidRDefault="009071C6" w:rsidP="009071C6">
      <w:pPr>
        <w:pStyle w:val="NormalnyWeb"/>
        <w:jc w:val="both"/>
        <w:rPr>
          <w:rFonts w:ascii="Segoe UI" w:hAnsi="Segoe UI" w:cs="Segoe UI"/>
        </w:rPr>
      </w:pPr>
      <w:r w:rsidRPr="00C20B71">
        <w:rPr>
          <w:rFonts w:ascii="Segoe UI" w:hAnsi="Segoe UI" w:cs="Segoe UI"/>
        </w:rPr>
        <w:t xml:space="preserve"> </w:t>
      </w:r>
      <w:r>
        <w:rPr>
          <w:rFonts w:ascii="Segoe UI" w:hAnsi="Segoe UI" w:cs="Segoe UI"/>
        </w:rPr>
        <w:t>i organizator wydarzenia - Grupy</w:t>
      </w:r>
      <w:r w:rsidRPr="00C20B71">
        <w:rPr>
          <w:rFonts w:ascii="Segoe UI" w:hAnsi="Segoe UI" w:cs="Segoe UI"/>
        </w:rPr>
        <w:t xml:space="preserve"> MTP.</w:t>
      </w:r>
    </w:p>
    <w:p w:rsidR="009071C6" w:rsidRPr="00C20B71" w:rsidRDefault="009071C6" w:rsidP="009071C6">
      <w:pPr>
        <w:pStyle w:val="NormalnyWeb"/>
        <w:jc w:val="both"/>
        <w:rPr>
          <w:rFonts w:ascii="Segoe UI" w:hAnsi="Segoe UI" w:cs="Segoe UI"/>
        </w:rPr>
      </w:pPr>
      <w:r w:rsidRPr="00C20B71">
        <w:rPr>
          <w:rFonts w:ascii="Segoe UI" w:hAnsi="Segoe UI" w:cs="Segoe UI"/>
        </w:rPr>
        <w:t xml:space="preserve">W imieniu </w:t>
      </w:r>
      <w:proofErr w:type="spellStart"/>
      <w:r w:rsidRPr="00C20B71">
        <w:rPr>
          <w:rFonts w:ascii="Segoe UI" w:hAnsi="Segoe UI" w:cs="Segoe UI"/>
        </w:rPr>
        <w:t>MRiT</w:t>
      </w:r>
      <w:proofErr w:type="spellEnd"/>
      <w:r w:rsidRPr="00C20B71">
        <w:rPr>
          <w:rFonts w:ascii="Segoe UI" w:hAnsi="Segoe UI" w:cs="Segoe UI"/>
        </w:rPr>
        <w:t xml:space="preserve"> gości przywitał Aleksander Siemaszko, Dyrektor Departamentu Handlu i Współpracy Międzynarodowej, podziękowanie za uczestnictwo w pracach rady w imieniu organizatora złożył Filip Bittner, Wiceprezes Zarządu Grupy MTP. Propozycje programowe przedstawili w imieniu partnerów merytorycznych Dariusz Szymczycha, pierwszy zastępca PUIG, oraz Konrad Wyrwas, dyrektor ds. strategii rozwoju i PR w PZPB. Kwestie organizacyjne kongresu zaprezentowali Martyna Dera, dyrektor ds. kongresów Grupy MTP i Jan Gładysiak, dyrektor Kongresu COMMON FUTURE.</w:t>
      </w:r>
    </w:p>
    <w:p w:rsidR="009071C6" w:rsidRPr="00C20B71" w:rsidRDefault="009071C6" w:rsidP="009071C6">
      <w:pPr>
        <w:pStyle w:val="NormalnyWeb"/>
        <w:jc w:val="both"/>
        <w:rPr>
          <w:rFonts w:ascii="Segoe UI" w:hAnsi="Segoe UI" w:cs="Segoe UI"/>
        </w:rPr>
      </w:pPr>
      <w:r w:rsidRPr="00C20B71">
        <w:rPr>
          <w:rFonts w:ascii="Segoe UI" w:hAnsi="Segoe UI" w:cs="Segoe UI"/>
        </w:rPr>
        <w:t>Podczas obrad przygotowano listę priorytetowych zagadnień dotyczących rozwoju współpracy polskich przedsiębiorców w procesie odbudowy Ukrainy, które będą poruszone podczas jesiennej edycji Kongresu Odbudowy Ukrainy COMMON FUTURE. Każdy z uczestników przedstawił kluczowe obszary programowe z perspektywy reprezentowanej instytucji.</w:t>
      </w:r>
    </w:p>
    <w:p w:rsidR="009071C6" w:rsidRPr="00C20B71" w:rsidRDefault="009071C6" w:rsidP="009071C6">
      <w:pPr>
        <w:pStyle w:val="NormalnyWeb"/>
        <w:jc w:val="both"/>
        <w:rPr>
          <w:rFonts w:ascii="Segoe UI" w:hAnsi="Segoe UI" w:cs="Segoe UI"/>
        </w:rPr>
      </w:pPr>
      <w:r w:rsidRPr="00C20B71">
        <w:rPr>
          <w:rFonts w:ascii="Segoe UI" w:hAnsi="Segoe UI" w:cs="Segoe UI"/>
        </w:rPr>
        <w:t xml:space="preserve">Wśród szczególnie często poruszanych zagadnień była kwestia bezpieczeństwa energetycznego Ukrainy oraz polskiego wkładu w jego zapewnieniu. Dyskutowano także o spodziewanym na jesieni uruchomieniu unijnego programu </w:t>
      </w:r>
      <w:r w:rsidRPr="00C20B71">
        <w:rPr>
          <w:rFonts w:ascii="Segoe UI" w:hAnsi="Segoe UI" w:cs="Segoe UI"/>
          <w:i/>
        </w:rPr>
        <w:t>„</w:t>
      </w:r>
      <w:proofErr w:type="spellStart"/>
      <w:r w:rsidRPr="00C20B71">
        <w:rPr>
          <w:rFonts w:ascii="Segoe UI" w:hAnsi="Segoe UI" w:cs="Segoe UI"/>
          <w:i/>
        </w:rPr>
        <w:t>Ukraine</w:t>
      </w:r>
      <w:proofErr w:type="spellEnd"/>
      <w:r w:rsidRPr="00C20B71">
        <w:rPr>
          <w:rFonts w:ascii="Segoe UI" w:hAnsi="Segoe UI" w:cs="Segoe UI"/>
          <w:i/>
        </w:rPr>
        <w:t xml:space="preserve"> </w:t>
      </w:r>
      <w:proofErr w:type="spellStart"/>
      <w:r w:rsidRPr="00C20B71">
        <w:rPr>
          <w:rFonts w:ascii="Segoe UI" w:hAnsi="Segoe UI" w:cs="Segoe UI"/>
          <w:i/>
        </w:rPr>
        <w:t>Facility</w:t>
      </w:r>
      <w:proofErr w:type="spellEnd"/>
      <w:r w:rsidRPr="00C20B71">
        <w:rPr>
          <w:rFonts w:ascii="Segoe UI" w:hAnsi="Segoe UI" w:cs="Segoe UI"/>
          <w:i/>
        </w:rPr>
        <w:t>”.</w:t>
      </w:r>
      <w:r w:rsidRPr="00C20B71">
        <w:rPr>
          <w:rFonts w:ascii="Segoe UI" w:hAnsi="Segoe UI" w:cs="Segoe UI"/>
        </w:rPr>
        <w:t xml:space="preserve"> Istotnym komponentem przyszłego programu kongresu będzie również współpraca na szczeblu samorządowym, oparta na doświadczeniach dużych polskich miast. Tegoroczna edycja kongresu ma być przestrzenią do dyskusji na temat ścieżki Ukrainy do Europy oraz roli organizacji międzynarodowych w procesie jej odbudowy.</w:t>
      </w:r>
    </w:p>
    <w:p w:rsidR="009071C6" w:rsidRDefault="009071C6" w:rsidP="009071C6">
      <w:pPr>
        <w:pStyle w:val="NormalnyWeb"/>
        <w:jc w:val="both"/>
        <w:rPr>
          <w:rFonts w:ascii="Segoe UI" w:hAnsi="Segoe UI" w:cs="Segoe UI"/>
        </w:rPr>
      </w:pPr>
      <w:r w:rsidRPr="00C20B71">
        <w:rPr>
          <w:rFonts w:ascii="Segoe UI" w:hAnsi="Segoe UI" w:cs="Segoe UI"/>
        </w:rPr>
        <w:t>Szczegółowy program wydarzenia będzie dostępny już wkrótce na stronach internetowych wydarzenia.</w:t>
      </w:r>
    </w:p>
    <w:p w:rsidR="009071C6" w:rsidRPr="00C20B71" w:rsidRDefault="009071C6" w:rsidP="009071C6">
      <w:pPr>
        <w:pStyle w:val="NormalnyWeb"/>
        <w:jc w:val="both"/>
        <w:rPr>
          <w:rFonts w:ascii="Segoe UI" w:hAnsi="Segoe UI" w:cs="Segoe UI"/>
        </w:rPr>
      </w:pPr>
      <w:r w:rsidRPr="0000554D">
        <w:rPr>
          <w:rFonts w:ascii="Segoe UI" w:hAnsi="Segoe UI" w:cs="Segoe UI"/>
          <w:b/>
        </w:rPr>
        <w:t xml:space="preserve">Kongres Odbudowy Ukrainy COMMON FUTURE odbędzie się w dnia 7-8 października na terenie Międzynarodowych Targów Poznańskich. </w:t>
      </w:r>
      <w:r w:rsidRPr="0000554D">
        <w:rPr>
          <w:rFonts w:ascii="Segoe UI" w:hAnsi="Segoe UI" w:cs="Segoe UI"/>
        </w:rPr>
        <w:t>Wśród jego uczestników znajdą się przedsiębiorcy z Polski i Ukrainy, samorządowcy i prz</w:t>
      </w:r>
      <w:r>
        <w:rPr>
          <w:rFonts w:ascii="Segoe UI" w:hAnsi="Segoe UI" w:cs="Segoe UI"/>
        </w:rPr>
        <w:t xml:space="preserve">edstawiciele rządów obu państw oraz instytucji krajowych i międzynarodowych wspierających rozwój. </w:t>
      </w:r>
      <w:r w:rsidRPr="0000554D">
        <w:rPr>
          <w:rFonts w:ascii="Segoe UI" w:hAnsi="Segoe UI" w:cs="Segoe UI"/>
        </w:rPr>
        <w:t>Kongres bę</w:t>
      </w:r>
      <w:r>
        <w:rPr>
          <w:rFonts w:ascii="Segoe UI" w:hAnsi="Segoe UI" w:cs="Segoe UI"/>
        </w:rPr>
        <w:t xml:space="preserve">dzie podzielony </w:t>
      </w:r>
      <w:r>
        <w:rPr>
          <w:rFonts w:ascii="Segoe UI" w:hAnsi="Segoe UI" w:cs="Segoe UI"/>
        </w:rPr>
        <w:lastRenderedPageBreak/>
        <w:t>na strefę debat z panelami dyskusyjnymi</w:t>
      </w:r>
      <w:r w:rsidRPr="0000554D">
        <w:rPr>
          <w:rFonts w:ascii="Segoe UI" w:hAnsi="Segoe UI" w:cs="Segoe UI"/>
        </w:rPr>
        <w:t xml:space="preserve"> oraz przestrzeń ekspozycyjną z udziałem wystawców</w:t>
      </w:r>
      <w:r>
        <w:rPr>
          <w:rFonts w:ascii="Segoe UI" w:hAnsi="Segoe UI" w:cs="Segoe UI"/>
        </w:rPr>
        <w:t xml:space="preserve"> – partnerów i</w:t>
      </w:r>
      <w:r w:rsidRPr="0000554D">
        <w:rPr>
          <w:rFonts w:ascii="Segoe UI" w:hAnsi="Segoe UI" w:cs="Segoe UI"/>
        </w:rPr>
        <w:t xml:space="preserve"> firm gotowych na udział w procesie odbudowy </w:t>
      </w:r>
      <w:r>
        <w:rPr>
          <w:rFonts w:ascii="Segoe UI" w:hAnsi="Segoe UI" w:cs="Segoe UI"/>
        </w:rPr>
        <w:t xml:space="preserve">i modernizacji </w:t>
      </w:r>
      <w:r w:rsidRPr="0000554D">
        <w:rPr>
          <w:rFonts w:ascii="Segoe UI" w:hAnsi="Segoe UI" w:cs="Segoe UI"/>
        </w:rPr>
        <w:t>Ukrainy.</w:t>
      </w:r>
    </w:p>
    <w:p w:rsidR="009071C6" w:rsidRPr="00C20B71" w:rsidRDefault="009071C6" w:rsidP="009071C6">
      <w:pPr>
        <w:pStyle w:val="NormalnyWeb"/>
        <w:jc w:val="both"/>
        <w:rPr>
          <w:rFonts w:ascii="Segoe UI" w:hAnsi="Segoe UI" w:cs="Segoe UI"/>
        </w:rPr>
      </w:pPr>
      <w:r w:rsidRPr="00C20B71">
        <w:rPr>
          <w:rFonts w:ascii="Segoe UI" w:hAnsi="Segoe UI" w:cs="Segoe UI"/>
        </w:rPr>
        <w:t xml:space="preserve">Zapraszamy do śledzenia dalszych informacji na temat Kongresu Odbudowy Ukrainy COMMON FUTURE na stronie internetowej </w:t>
      </w:r>
      <w:hyperlink r:id="rId10" w:history="1">
        <w:r w:rsidRPr="00C20B71">
          <w:rPr>
            <w:rStyle w:val="Hipercze"/>
            <w:rFonts w:ascii="Segoe UI" w:hAnsi="Segoe UI" w:cs="Segoe UI"/>
          </w:rPr>
          <w:t>www.common-future.pl</w:t>
        </w:r>
      </w:hyperlink>
      <w:r w:rsidRPr="00C20B71">
        <w:rPr>
          <w:rFonts w:ascii="Segoe UI" w:hAnsi="Segoe UI" w:cs="Segoe UI"/>
        </w:rPr>
        <w:t xml:space="preserve"> i na naszych kanałach </w:t>
      </w:r>
      <w:proofErr w:type="spellStart"/>
      <w:r w:rsidRPr="00C20B71">
        <w:rPr>
          <w:rFonts w:ascii="Segoe UI" w:hAnsi="Segoe UI" w:cs="Segoe UI"/>
        </w:rPr>
        <w:t>social</w:t>
      </w:r>
      <w:proofErr w:type="spellEnd"/>
      <w:r w:rsidRPr="00C20B71">
        <w:rPr>
          <w:rFonts w:ascii="Segoe UI" w:hAnsi="Segoe UI" w:cs="Segoe UI"/>
        </w:rPr>
        <w:t xml:space="preserve"> media.</w:t>
      </w:r>
      <w:r>
        <w:rPr>
          <w:rFonts w:ascii="Segoe UI" w:hAnsi="Segoe UI" w:cs="Segoe UI"/>
        </w:rP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450"/>
        <w:gridCol w:w="450"/>
        <w:gridCol w:w="450"/>
      </w:tblGrid>
      <w:tr w:rsidR="009071C6" w:rsidTr="00761D32">
        <w:trPr>
          <w:tblCellSpacing w:w="0" w:type="dxa"/>
          <w:jc w:val="center"/>
        </w:trPr>
        <w:tc>
          <w:tcPr>
            <w:tcW w:w="0" w:type="auto"/>
            <w:tcMar>
              <w:top w:w="0" w:type="dxa"/>
              <w:left w:w="30" w:type="dxa"/>
              <w:bottom w:w="0" w:type="dxa"/>
              <w:right w:w="30" w:type="dxa"/>
            </w:tcMar>
            <w:vAlign w:val="center"/>
            <w:hideMark/>
          </w:tcPr>
          <w:p w:rsidR="009071C6" w:rsidRDefault="009071C6" w:rsidP="00761D32">
            <w:pPr>
              <w:rPr>
                <w:sz w:val="24"/>
                <w:szCs w:val="24"/>
              </w:rPr>
            </w:pPr>
            <w:r>
              <w:rPr>
                <w:noProof/>
                <w:color w:val="0000FF"/>
                <w:lang w:eastAsia="pl-PL"/>
              </w:rPr>
              <w:drawing>
                <wp:inline distT="0" distB="0" distL="0" distR="0" wp14:anchorId="5CEED9EE" wp14:editId="522B6B5B">
                  <wp:extent cx="242570" cy="242570"/>
                  <wp:effectExtent l="0" t="0" r="5080" b="5080"/>
                  <wp:docPr id="3" name="Obraz 3" descr="Facebook">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0" w:type="auto"/>
            <w:tcMar>
              <w:top w:w="0" w:type="dxa"/>
              <w:left w:w="30" w:type="dxa"/>
              <w:bottom w:w="0" w:type="dxa"/>
              <w:right w:w="30" w:type="dxa"/>
            </w:tcMar>
            <w:vAlign w:val="center"/>
            <w:hideMark/>
          </w:tcPr>
          <w:p w:rsidR="009071C6" w:rsidRDefault="009071C6" w:rsidP="00761D32">
            <w:pPr>
              <w:rPr>
                <w:sz w:val="24"/>
                <w:szCs w:val="24"/>
              </w:rPr>
            </w:pPr>
            <w:r>
              <w:rPr>
                <w:noProof/>
                <w:color w:val="0000FF"/>
                <w:lang w:eastAsia="pl-PL"/>
              </w:rPr>
              <w:drawing>
                <wp:inline distT="0" distB="0" distL="0" distR="0" wp14:anchorId="4C8832FB" wp14:editId="2018A2F9">
                  <wp:extent cx="242570" cy="242570"/>
                  <wp:effectExtent l="0" t="0" r="5080" b="5080"/>
                  <wp:docPr id="1" name="Obraz 1" descr="LinkedI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c>
          <w:tcPr>
            <w:tcW w:w="0" w:type="auto"/>
            <w:tcMar>
              <w:top w:w="0" w:type="dxa"/>
              <w:left w:w="30" w:type="dxa"/>
              <w:bottom w:w="0" w:type="dxa"/>
              <w:right w:w="30" w:type="dxa"/>
            </w:tcMar>
            <w:vAlign w:val="center"/>
            <w:hideMark/>
          </w:tcPr>
          <w:p w:rsidR="009071C6" w:rsidRDefault="009071C6" w:rsidP="00761D32">
            <w:pPr>
              <w:rPr>
                <w:sz w:val="24"/>
                <w:szCs w:val="24"/>
              </w:rPr>
            </w:pPr>
            <w:r>
              <w:rPr>
                <w:noProof/>
                <w:color w:val="0000FF"/>
                <w:lang w:eastAsia="pl-PL"/>
              </w:rPr>
              <w:drawing>
                <wp:inline distT="0" distB="0" distL="0" distR="0" wp14:anchorId="2CAD29BE" wp14:editId="0A273611">
                  <wp:extent cx="242570" cy="242570"/>
                  <wp:effectExtent l="0" t="0" r="5080" b="5080"/>
                  <wp:docPr id="4" name="Obraz 4" descr="YouTub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r>
    </w:tbl>
    <w:p w:rsidR="009071C6" w:rsidRDefault="009071C6" w:rsidP="009071C6">
      <w:pPr>
        <w:pStyle w:val="NormalnyWeb"/>
      </w:pPr>
      <w:r w:rsidRPr="00D77DC8">
        <w:rPr>
          <w:noProof/>
        </w:rPr>
        <w:drawing>
          <wp:anchor distT="0" distB="0" distL="114300" distR="114300" simplePos="0" relativeHeight="251659264" behindDoc="0" locked="0" layoutInCell="1" allowOverlap="1" wp14:anchorId="4495760D" wp14:editId="34DEA445">
            <wp:simplePos x="0" y="0"/>
            <wp:positionH relativeFrom="column">
              <wp:posOffset>-487507</wp:posOffset>
            </wp:positionH>
            <wp:positionV relativeFrom="paragraph">
              <wp:posOffset>8708</wp:posOffset>
            </wp:positionV>
            <wp:extent cx="6954520" cy="1003935"/>
            <wp:effectExtent l="0" t="0" r="0" b="571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954520" cy="1003935"/>
                    </a:xfrm>
                    <a:prstGeom prst="rect">
                      <a:avLst/>
                    </a:prstGeom>
                  </pic:spPr>
                </pic:pic>
              </a:graphicData>
            </a:graphic>
            <wp14:sizeRelH relativeFrom="page">
              <wp14:pctWidth>0</wp14:pctWidth>
            </wp14:sizeRelH>
            <wp14:sizeRelV relativeFrom="page">
              <wp14:pctHeight>0</wp14:pctHeight>
            </wp14:sizeRelV>
          </wp:anchor>
        </w:drawing>
      </w:r>
    </w:p>
    <w:p w:rsidR="00FF44F6" w:rsidRPr="00B2797A" w:rsidRDefault="00FF44F6" w:rsidP="00B2797A">
      <w:pPr>
        <w:spacing w:after="0"/>
        <w:ind w:left="4248" w:firstLine="708"/>
        <w:jc w:val="right"/>
        <w:rPr>
          <w:rFonts w:ascii="Segoe UI" w:hAnsi="Segoe UI" w:cs="Segoe UI"/>
          <w:sz w:val="20"/>
          <w:szCs w:val="20"/>
        </w:rPr>
      </w:pPr>
    </w:p>
    <w:sectPr w:rsidR="00FF44F6" w:rsidRPr="00B2797A" w:rsidSect="008C3572">
      <w:headerReference w:type="default" r:id="rId21"/>
      <w:footerReference w:type="default" r:id="rId2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74" w:rsidRDefault="000F5D74" w:rsidP="00F80242">
      <w:pPr>
        <w:spacing w:after="0" w:line="240" w:lineRule="auto"/>
      </w:pPr>
      <w:r>
        <w:separator/>
      </w:r>
    </w:p>
  </w:endnote>
  <w:endnote w:type="continuationSeparator" w:id="0">
    <w:p w:rsidR="000F5D74" w:rsidRDefault="000F5D74"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p w:rsidR="00FF44F6" w:rsidRDefault="00FF44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74" w:rsidRDefault="000F5D74" w:rsidP="00F80242">
      <w:pPr>
        <w:spacing w:after="0" w:line="240" w:lineRule="auto"/>
      </w:pPr>
      <w:r>
        <w:separator/>
      </w:r>
    </w:p>
  </w:footnote>
  <w:footnote w:type="continuationSeparator" w:id="0">
    <w:p w:rsidR="000F5D74" w:rsidRDefault="000F5D74"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F6" w:rsidRDefault="00FF44F6">
    <w:pPr>
      <w:pStyle w:val="Nagwek"/>
    </w:pPr>
    <w:r>
      <w:rPr>
        <w:noProof/>
        <w:lang w:eastAsia="pl-PL"/>
      </w:rPr>
      <w:drawing>
        <wp:anchor distT="0" distB="0" distL="114300" distR="114300" simplePos="0" relativeHeight="251659264" behindDoc="1" locked="0" layoutInCell="1" allowOverlap="1" wp14:anchorId="5DFCDF57" wp14:editId="4910F1C2">
          <wp:simplePos x="0" y="0"/>
          <wp:positionH relativeFrom="page">
            <wp:posOffset>0</wp:posOffset>
          </wp:positionH>
          <wp:positionV relativeFrom="paragraph">
            <wp:posOffset>-449580</wp:posOffset>
          </wp:positionV>
          <wp:extent cx="7538585" cy="10665456"/>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5" cy="10665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4F6" w:rsidRDefault="00FF44F6">
    <w:pPr>
      <w:pStyle w:val="Nagwek"/>
    </w:pPr>
  </w:p>
  <w:p w:rsidR="00FF44F6" w:rsidRDefault="00FF44F6">
    <w:pPr>
      <w:pStyle w:val="Nagwek"/>
    </w:pPr>
  </w:p>
  <w:p w:rsidR="00FF44F6" w:rsidRDefault="00FF44F6">
    <w:pPr>
      <w:pStyle w:val="Nagwek"/>
    </w:pPr>
  </w:p>
  <w:p w:rsidR="00FF44F6" w:rsidRDefault="00FF44F6">
    <w:pPr>
      <w:pStyle w:val="Nagwek"/>
    </w:pPr>
  </w:p>
  <w:p w:rsidR="00FF44F6" w:rsidRDefault="00FF44F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D1BE6"/>
    <w:multiLevelType w:val="hybridMultilevel"/>
    <w:tmpl w:val="12001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1510416"/>
    <w:multiLevelType w:val="hybridMultilevel"/>
    <w:tmpl w:val="EFE48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03DB8"/>
    <w:rsid w:val="00095D5E"/>
    <w:rsid w:val="000B6032"/>
    <w:rsid w:val="000D14A9"/>
    <w:rsid w:val="000F55A1"/>
    <w:rsid w:val="000F5D74"/>
    <w:rsid w:val="00111331"/>
    <w:rsid w:val="00132675"/>
    <w:rsid w:val="00152AFD"/>
    <w:rsid w:val="00155A29"/>
    <w:rsid w:val="00162FE6"/>
    <w:rsid w:val="001666A1"/>
    <w:rsid w:val="0017542D"/>
    <w:rsid w:val="00187E82"/>
    <w:rsid w:val="001A5AC0"/>
    <w:rsid w:val="001E39A6"/>
    <w:rsid w:val="00260DBF"/>
    <w:rsid w:val="00283204"/>
    <w:rsid w:val="0028694E"/>
    <w:rsid w:val="002A000A"/>
    <w:rsid w:val="002B45CD"/>
    <w:rsid w:val="00342E79"/>
    <w:rsid w:val="00347B02"/>
    <w:rsid w:val="0037788B"/>
    <w:rsid w:val="00380433"/>
    <w:rsid w:val="003B2C93"/>
    <w:rsid w:val="003B487B"/>
    <w:rsid w:val="003C5FD8"/>
    <w:rsid w:val="003C7760"/>
    <w:rsid w:val="003E3F16"/>
    <w:rsid w:val="003E655C"/>
    <w:rsid w:val="00437561"/>
    <w:rsid w:val="00441BFE"/>
    <w:rsid w:val="00453338"/>
    <w:rsid w:val="004A1016"/>
    <w:rsid w:val="004F1502"/>
    <w:rsid w:val="00535FC8"/>
    <w:rsid w:val="005368F3"/>
    <w:rsid w:val="00542EAE"/>
    <w:rsid w:val="00551BC5"/>
    <w:rsid w:val="005F3BB4"/>
    <w:rsid w:val="006269A2"/>
    <w:rsid w:val="006410F3"/>
    <w:rsid w:val="00652446"/>
    <w:rsid w:val="00666648"/>
    <w:rsid w:val="00682C9A"/>
    <w:rsid w:val="006837D9"/>
    <w:rsid w:val="006A243C"/>
    <w:rsid w:val="006A3346"/>
    <w:rsid w:val="006C08A3"/>
    <w:rsid w:val="006C3F67"/>
    <w:rsid w:val="00700379"/>
    <w:rsid w:val="00702C19"/>
    <w:rsid w:val="0072587C"/>
    <w:rsid w:val="00746162"/>
    <w:rsid w:val="007508F2"/>
    <w:rsid w:val="00776FA1"/>
    <w:rsid w:val="007804DF"/>
    <w:rsid w:val="007B0B58"/>
    <w:rsid w:val="007C5316"/>
    <w:rsid w:val="0081577C"/>
    <w:rsid w:val="00817FD6"/>
    <w:rsid w:val="00822183"/>
    <w:rsid w:val="0087442B"/>
    <w:rsid w:val="008B6564"/>
    <w:rsid w:val="008C3572"/>
    <w:rsid w:val="008E1425"/>
    <w:rsid w:val="0090085F"/>
    <w:rsid w:val="0090598D"/>
    <w:rsid w:val="009071C6"/>
    <w:rsid w:val="0092118B"/>
    <w:rsid w:val="009570AC"/>
    <w:rsid w:val="009844A1"/>
    <w:rsid w:val="00985693"/>
    <w:rsid w:val="00986E75"/>
    <w:rsid w:val="009B55F4"/>
    <w:rsid w:val="009C7E7B"/>
    <w:rsid w:val="009F0F59"/>
    <w:rsid w:val="009F625C"/>
    <w:rsid w:val="00A1437A"/>
    <w:rsid w:val="00A179EB"/>
    <w:rsid w:val="00A73527"/>
    <w:rsid w:val="00A91B84"/>
    <w:rsid w:val="00AA1B8C"/>
    <w:rsid w:val="00B2797A"/>
    <w:rsid w:val="00B279C2"/>
    <w:rsid w:val="00B30616"/>
    <w:rsid w:val="00B618E8"/>
    <w:rsid w:val="00B7100B"/>
    <w:rsid w:val="00BA1335"/>
    <w:rsid w:val="00C03599"/>
    <w:rsid w:val="00C25F30"/>
    <w:rsid w:val="00C70B53"/>
    <w:rsid w:val="00C92B72"/>
    <w:rsid w:val="00CC56E6"/>
    <w:rsid w:val="00CF07BD"/>
    <w:rsid w:val="00CF68B9"/>
    <w:rsid w:val="00D164F7"/>
    <w:rsid w:val="00D37CEB"/>
    <w:rsid w:val="00D46AFE"/>
    <w:rsid w:val="00D6771F"/>
    <w:rsid w:val="00D8246B"/>
    <w:rsid w:val="00DE4B8A"/>
    <w:rsid w:val="00E22F2D"/>
    <w:rsid w:val="00E45C68"/>
    <w:rsid w:val="00E575C8"/>
    <w:rsid w:val="00E70DDF"/>
    <w:rsid w:val="00EA2ED2"/>
    <w:rsid w:val="00F01505"/>
    <w:rsid w:val="00F13F7E"/>
    <w:rsid w:val="00F27FF9"/>
    <w:rsid w:val="00F331FE"/>
    <w:rsid w:val="00F61077"/>
    <w:rsid w:val="00F80242"/>
    <w:rsid w:val="00F9390F"/>
    <w:rsid w:val="00FA07E0"/>
    <w:rsid w:val="00FA1BB7"/>
    <w:rsid w:val="00FA33F3"/>
    <w:rsid w:val="00FB2395"/>
    <w:rsid w:val="00FC66D7"/>
    <w:rsid w:val="00FD3327"/>
    <w:rsid w:val="00FD37F7"/>
    <w:rsid w:val="00FD46FC"/>
    <w:rsid w:val="00FE3353"/>
    <w:rsid w:val="00FF1EAE"/>
    <w:rsid w:val="00FF4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1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paragraph" w:styleId="Tekstprzypisukocowego">
    <w:name w:val="endnote text"/>
    <w:basedOn w:val="Normalny"/>
    <w:link w:val="TekstprzypisukocowegoZnak"/>
    <w:uiPriority w:val="99"/>
    <w:semiHidden/>
    <w:unhideWhenUsed/>
    <w:rsid w:val="007C53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316"/>
    <w:rPr>
      <w:sz w:val="20"/>
      <w:szCs w:val="20"/>
    </w:rPr>
  </w:style>
  <w:style w:type="character" w:styleId="Odwoanieprzypisukocowego">
    <w:name w:val="endnote reference"/>
    <w:basedOn w:val="Domylnaczcionkaakapitu"/>
    <w:uiPriority w:val="99"/>
    <w:semiHidden/>
    <w:unhideWhenUsed/>
    <w:rsid w:val="007C5316"/>
    <w:rPr>
      <w:vertAlign w:val="superscript"/>
    </w:rPr>
  </w:style>
  <w:style w:type="character" w:styleId="Odwoaniedokomentarza">
    <w:name w:val="annotation reference"/>
    <w:basedOn w:val="Domylnaczcionkaakapitu"/>
    <w:uiPriority w:val="99"/>
    <w:semiHidden/>
    <w:unhideWhenUsed/>
    <w:rsid w:val="006C3F67"/>
    <w:rPr>
      <w:sz w:val="16"/>
      <w:szCs w:val="16"/>
    </w:rPr>
  </w:style>
  <w:style w:type="paragraph" w:styleId="Tekstkomentarza">
    <w:name w:val="annotation text"/>
    <w:basedOn w:val="Normalny"/>
    <w:link w:val="TekstkomentarzaZnak"/>
    <w:uiPriority w:val="99"/>
    <w:semiHidden/>
    <w:unhideWhenUsed/>
    <w:rsid w:val="006C3F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3F67"/>
    <w:rPr>
      <w:sz w:val="20"/>
      <w:szCs w:val="20"/>
    </w:rPr>
  </w:style>
  <w:style w:type="paragraph" w:styleId="Tematkomentarza">
    <w:name w:val="annotation subject"/>
    <w:basedOn w:val="Tekstkomentarza"/>
    <w:next w:val="Tekstkomentarza"/>
    <w:link w:val="TematkomentarzaZnak"/>
    <w:uiPriority w:val="99"/>
    <w:semiHidden/>
    <w:unhideWhenUsed/>
    <w:rsid w:val="006C3F67"/>
    <w:rPr>
      <w:b/>
      <w:bCs/>
    </w:rPr>
  </w:style>
  <w:style w:type="character" w:customStyle="1" w:styleId="TematkomentarzaZnak">
    <w:name w:val="Temat komentarza Znak"/>
    <w:basedOn w:val="TekstkomentarzaZnak"/>
    <w:link w:val="Tematkomentarza"/>
    <w:uiPriority w:val="99"/>
    <w:semiHidden/>
    <w:rsid w:val="006C3F67"/>
    <w:rPr>
      <w:b/>
      <w:bCs/>
      <w:sz w:val="20"/>
      <w:szCs w:val="20"/>
    </w:rPr>
  </w:style>
  <w:style w:type="paragraph" w:styleId="Tekstdymka">
    <w:name w:val="Balloon Text"/>
    <w:basedOn w:val="Normalny"/>
    <w:link w:val="TekstdymkaZnak"/>
    <w:uiPriority w:val="99"/>
    <w:semiHidden/>
    <w:unhideWhenUsed/>
    <w:rsid w:val="006C3F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F67"/>
    <w:rPr>
      <w:rFonts w:ascii="Tahoma" w:hAnsi="Tahoma" w:cs="Tahoma"/>
      <w:sz w:val="16"/>
      <w:szCs w:val="16"/>
    </w:rPr>
  </w:style>
  <w:style w:type="character" w:styleId="Hipercze">
    <w:name w:val="Hyperlink"/>
    <w:basedOn w:val="Domylnaczcionkaakapitu"/>
    <w:uiPriority w:val="99"/>
    <w:unhideWhenUsed/>
    <w:rsid w:val="0090598D"/>
    <w:rPr>
      <w:color w:val="0000FF" w:themeColor="hyperlink"/>
      <w:u w:val="single"/>
    </w:rPr>
  </w:style>
  <w:style w:type="paragraph" w:styleId="NormalnyWeb">
    <w:name w:val="Normal (Web)"/>
    <w:basedOn w:val="Normalny"/>
    <w:uiPriority w:val="99"/>
    <w:unhideWhenUsed/>
    <w:rsid w:val="009071C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1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paragraph" w:styleId="Tekstprzypisukocowego">
    <w:name w:val="endnote text"/>
    <w:basedOn w:val="Normalny"/>
    <w:link w:val="TekstprzypisukocowegoZnak"/>
    <w:uiPriority w:val="99"/>
    <w:semiHidden/>
    <w:unhideWhenUsed/>
    <w:rsid w:val="007C53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316"/>
    <w:rPr>
      <w:sz w:val="20"/>
      <w:szCs w:val="20"/>
    </w:rPr>
  </w:style>
  <w:style w:type="character" w:styleId="Odwoanieprzypisukocowego">
    <w:name w:val="endnote reference"/>
    <w:basedOn w:val="Domylnaczcionkaakapitu"/>
    <w:uiPriority w:val="99"/>
    <w:semiHidden/>
    <w:unhideWhenUsed/>
    <w:rsid w:val="007C5316"/>
    <w:rPr>
      <w:vertAlign w:val="superscript"/>
    </w:rPr>
  </w:style>
  <w:style w:type="character" w:styleId="Odwoaniedokomentarza">
    <w:name w:val="annotation reference"/>
    <w:basedOn w:val="Domylnaczcionkaakapitu"/>
    <w:uiPriority w:val="99"/>
    <w:semiHidden/>
    <w:unhideWhenUsed/>
    <w:rsid w:val="006C3F67"/>
    <w:rPr>
      <w:sz w:val="16"/>
      <w:szCs w:val="16"/>
    </w:rPr>
  </w:style>
  <w:style w:type="paragraph" w:styleId="Tekstkomentarza">
    <w:name w:val="annotation text"/>
    <w:basedOn w:val="Normalny"/>
    <w:link w:val="TekstkomentarzaZnak"/>
    <w:uiPriority w:val="99"/>
    <w:semiHidden/>
    <w:unhideWhenUsed/>
    <w:rsid w:val="006C3F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3F67"/>
    <w:rPr>
      <w:sz w:val="20"/>
      <w:szCs w:val="20"/>
    </w:rPr>
  </w:style>
  <w:style w:type="paragraph" w:styleId="Tematkomentarza">
    <w:name w:val="annotation subject"/>
    <w:basedOn w:val="Tekstkomentarza"/>
    <w:next w:val="Tekstkomentarza"/>
    <w:link w:val="TematkomentarzaZnak"/>
    <w:uiPriority w:val="99"/>
    <w:semiHidden/>
    <w:unhideWhenUsed/>
    <w:rsid w:val="006C3F67"/>
    <w:rPr>
      <w:b/>
      <w:bCs/>
    </w:rPr>
  </w:style>
  <w:style w:type="character" w:customStyle="1" w:styleId="TematkomentarzaZnak">
    <w:name w:val="Temat komentarza Znak"/>
    <w:basedOn w:val="TekstkomentarzaZnak"/>
    <w:link w:val="Tematkomentarza"/>
    <w:uiPriority w:val="99"/>
    <w:semiHidden/>
    <w:rsid w:val="006C3F67"/>
    <w:rPr>
      <w:b/>
      <w:bCs/>
      <w:sz w:val="20"/>
      <w:szCs w:val="20"/>
    </w:rPr>
  </w:style>
  <w:style w:type="paragraph" w:styleId="Tekstdymka">
    <w:name w:val="Balloon Text"/>
    <w:basedOn w:val="Normalny"/>
    <w:link w:val="TekstdymkaZnak"/>
    <w:uiPriority w:val="99"/>
    <w:semiHidden/>
    <w:unhideWhenUsed/>
    <w:rsid w:val="006C3F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3F67"/>
    <w:rPr>
      <w:rFonts w:ascii="Tahoma" w:hAnsi="Tahoma" w:cs="Tahoma"/>
      <w:sz w:val="16"/>
      <w:szCs w:val="16"/>
    </w:rPr>
  </w:style>
  <w:style w:type="character" w:styleId="Hipercze">
    <w:name w:val="Hyperlink"/>
    <w:basedOn w:val="Domylnaczcionkaakapitu"/>
    <w:uiPriority w:val="99"/>
    <w:unhideWhenUsed/>
    <w:rsid w:val="0090598D"/>
    <w:rPr>
      <w:color w:val="0000FF" w:themeColor="hyperlink"/>
      <w:u w:val="single"/>
    </w:rPr>
  </w:style>
  <w:style w:type="paragraph" w:styleId="NormalnyWeb">
    <w:name w:val="Normal (Web)"/>
    <w:basedOn w:val="Normalny"/>
    <w:uiPriority w:val="99"/>
    <w:unhideWhenUsed/>
    <w:rsid w:val="009071C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15.png@01DAD2C0.CA52F8C0"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linkprotect.cudasvc.com/url?a=https://system.send360.pl/redirect/index.php?lid%3dF4F3CC5D-ECD7-4E33-BE28-D36E38280E64%26mccid%3d171DA1D3-933C-4CE9-9821-924F00B246A0%26did%3d1A1447F0-A758-4DD5-B47A-2EEC736DCBA1%26mid%3dSiZLIQEqFgVPKStLLC8RHA09VQ%3d%3d%26cid%3dC24VfkpyXFUT%26cntct_id%3dD2QXfkRyJV8MfChlam5ANxt4FBcSDTdoVyoXD18caHo1QxcL%26s%3da77bc706e9b8c38ee86a627538f49e7fad3edd7c%26site%3daHR0cHMlM2ElMmYlMmZ3d3cueW91dHViZS5jb20lMmZncnVwYW10cCUzZnV0bV9zb3VyY2UlM2RSZWRsaW5rLnBsJTI2dXRtX21lZGl1bSUzZGVtYWlsJTI2dXRtX2NhbXBhaWduJTNkQ09NTU9OJTI1MjBGVVRVUkUlMjUyMDIwMjQlMjUyMC0lMjUyMFdZU1RBV0NZ&amp;c=E,1,kId2rpOGzKz2fKD6yiy4I1M9mWxz-jRmGgP6qTT-CHH_hoBTwG87S9191QDJkWiUUq9H16zJ3xP2GMmhwEOXGLkQrljfZ3CfabE_RvB-RfwxUb3so_bLJw,,&amp;typo=1" TargetMode="External"/><Relationship Id="rId2" Type="http://schemas.openxmlformats.org/officeDocument/2006/relationships/numbering" Target="numbering.xml"/><Relationship Id="rId16" Type="http://schemas.openxmlformats.org/officeDocument/2006/relationships/image" Target="cid:image016.png@01DAD2C0.CA52F8C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protect.cudasvc.com/url?a=https://system.send360.pl/redirect/index.php?lid%3dFB343928-FCA1-46EB-8801-5A18D6483DFF%26mccid%3d171DA1D3-933C-4CE9-9821-924F00B246A0%26did%3d1A1447F0-A758-4DD5-B47A-2EEC736DCBA1%26mid%3dSiZLIQEqFgVPKStLLC8RHA09VQ%3d%3d%26cid%3dC24VfkpyXFUT%26cntct_id%3dD2QXfkRyJV8MfChlam5ANxt4FBcSDTdoVyoXD18caHo1QxcL%26s%3ddec2b30488c4dc2e8bda9c671eb6f5e43c5f14bc%26site%3daHR0cHMlM2ElMmYlMmZ3d3cuZmFjZWJvb2suY29tJTJmQ29tbW9uRnV0dXJlQ29uZ3Jlc3MlM2Z1dG1fc291cmNlJTNkUmVkbGluay5wbCUyNnV0bV9tZWRpdW0lM2RlbWFpbCUyNnV0bV9jYW1wYWlnbiUzZENPTU1PTiUyNTIwRlVUVVJFJTI1MjAyMDI0JTI1MjAtJTI1MjBXWVNUQVdDWQ%3d%3d&amp;c=E,1,IfzrNLBTfwcL_ky8AUi-1HHSTA2pnvcfYMSzN9KP1ueVoTGXJ-4DxAY8TzUqK2SifQc3ZktJiTrUsWb0VtMXvuZh2xBvA1HTpdQ-x5Snu6D947nJ&amp;typo=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common-future.pl" TargetMode="External"/><Relationship Id="rId19" Type="http://schemas.openxmlformats.org/officeDocument/2006/relationships/image" Target="cid:image017.png@01DAD2C0.CA52F8C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inkprotect.cudasvc.com/url?a=https://system.send360.pl/redirect/index.php?lid%3dC0ED6E61-F45D-48E4-A3BC-1F64B973748C%26mccid%3d171DA1D3-933C-4CE9-9821-924F00B246A0%26did%3d1A1447F0-A758-4DD5-B47A-2EEC736DCBA1%26mid%3dSiZLIQEqFgVPKStLLC8RHA09VQ%3d%3d%26cid%3dC24VfkpyXFUT%26cntct_id%3dD2QXfkRyJV8MfChlam5ANxt4FBcSDTdoVyoXD18caHo1QxcL%26s%3d83a319d786a4fe8f2d9ba7d97fa0ab20f2a2cfdb%26site%3daHR0cHMlM2ElMmYlMmZ3d3cubGlua2VkaW4uY29tJTJmc2hvd2Nhc2UlMmZjb21tb25mdXR1cmVjb25ncmVzcyUyZnBvc3RzJTNmbGlwaSUzZHVybiUyNTNBbGklMjUzQXBhZ2UlMjUzQWRfZmxhZ3NoaXAzX3Nob3djYXNlX2FkbWluJTI1M0JvVWc1S3Z2eFJHV3UlMjUyRk1GenpSU2tqUSUyNTNEJTI1M0QlMjZ1dG1fc291cmNlJTNkUmVkbGluay5wbCUyNnV0bV9tZWRpdW0lM2RlbWFpbCUyNnV0bV9jYW1wYWlnbiUzZENPTU1PTiUyNTIwRlVUVVJFJTI1MjAyMDI0JTI1MjAtJTI1MjBXWVNUQVdDWQ%3d%3d&amp;c=E,1,G_YMzxFpz7WS9wcTL9N5q_ntUDprL48ptmAzhsKh7AHzTGpVvfqISDrOArISPZLTr6FEQ7YZH9qLV5SyhaYjBPG57kZrqHFdaR1qRi6OTf6I&amp;typo=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906C-90C2-4933-A4DD-02E64D9B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2904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Jan Gładysiak</cp:lastModifiedBy>
  <cp:revision>2</cp:revision>
  <cp:lastPrinted>2024-05-10T12:45:00Z</cp:lastPrinted>
  <dcterms:created xsi:type="dcterms:W3CDTF">2024-07-17T18:03:00Z</dcterms:created>
  <dcterms:modified xsi:type="dcterms:W3CDTF">2024-07-17T18:03:00Z</dcterms:modified>
</cp:coreProperties>
</file>